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464789D2" w14:textId="77777777" w:rsidR="00162B72" w:rsidRDefault="00A95A7E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03.06.2019</w:t>
                                      </w:r>
                                    </w:p>
                                    <w:p w14:paraId="5273460A" w14:textId="417F2690" w:rsidR="00A95A7E" w:rsidRPr="00A95A7E" w:rsidRDefault="00A95A7E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03.12.2019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BB7AF0C" w:rsidR="00162B72" w:rsidRPr="002338AA" w:rsidRDefault="00B9162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თეონა ჭანტურია</w:t>
                                      </w:r>
                                      <w:r w:rsidR="002338AA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26BA0C5C" w14:textId="52E46E42" w:rsidR="00B9162A" w:rsidRDefault="00B82EDE" w:rsidP="00B9162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B9162A" w:rsidRPr="008F7905">
                                          <w:rPr>
                                            <w:rStyle w:val="Hyperlink"/>
                                          </w:rPr>
                                          <w:t>tchanturia@bog.ge</w:t>
                                        </w:r>
                                      </w:hyperlink>
                                    </w:p>
                                    <w:p w14:paraId="2D516649" w14:textId="4A78FD03" w:rsidR="00162B72" w:rsidRPr="00B9162A" w:rsidRDefault="00162B72" w:rsidP="00B9162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+995 5</w:t>
                                      </w:r>
                                      <w:r w:rsidR="00B9162A">
                                        <w:rPr>
                                          <w:lang w:val="ka-GE"/>
                                        </w:rPr>
                                        <w:t>77 15 10 01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464789D2" w14:textId="77777777" w:rsidR="00162B72" w:rsidRDefault="00A95A7E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03.06.2019</w:t>
                                </w:r>
                              </w:p>
                              <w:p w14:paraId="5273460A" w14:textId="417F2690" w:rsidR="00A95A7E" w:rsidRPr="00A95A7E" w:rsidRDefault="00A95A7E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03.12.2019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BB7AF0C" w:rsidR="00162B72" w:rsidRPr="002338AA" w:rsidRDefault="00B9162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თეონა ჭანტურია</w:t>
                                </w:r>
                                <w:r w:rsidR="002338AA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6BA0C5C" w14:textId="52E46E42" w:rsidR="00B9162A" w:rsidRDefault="00B82EDE" w:rsidP="00B9162A">
                                <w:pPr>
                                  <w:rPr>
                                    <w:lang w:val="ka-GE"/>
                                  </w:rPr>
                                </w:pPr>
                                <w:hyperlink r:id="rId11" w:history="1">
                                  <w:r w:rsidR="00B9162A" w:rsidRPr="008F7905">
                                    <w:rPr>
                                      <w:rStyle w:val="Hyperlink"/>
                                    </w:rPr>
                                    <w:t>tchanturia@bog.ge</w:t>
                                  </w:r>
                                </w:hyperlink>
                              </w:p>
                              <w:p w14:paraId="2D516649" w14:textId="4A78FD03" w:rsidR="00162B72" w:rsidRPr="00B9162A" w:rsidRDefault="00162B72" w:rsidP="00B9162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+995 5</w:t>
                                </w:r>
                                <w:r w:rsidR="00B9162A">
                                  <w:rPr>
                                    <w:lang w:val="ka-GE"/>
                                  </w:rPr>
                                  <w:t>77 15 10 01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2C528A4B" w:rsidR="00162B72" w:rsidRPr="008546AE" w:rsidRDefault="008546AE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8546AE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მედია სააგენტო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2C528A4B" w:rsidR="00162B72" w:rsidRPr="008546AE" w:rsidRDefault="008546AE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8546AE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მედია სააგენტო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50217" w:displacedByCustomXml="next"/>
    <w:bookmarkStart w:id="3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B82E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B82E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B82E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B82E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B82E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B82E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B82E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B82E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B82E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3"/>
      <w:bookmarkEnd w:id="2"/>
      <w:bookmarkEnd w:id="4"/>
      <w:proofErr w:type="spellEnd"/>
      <w:r w:rsidR="007E0755">
        <w:rPr>
          <w:rFonts w:eastAsiaTheme="minorEastAsia"/>
          <w:lang w:val="ka-GE"/>
        </w:rPr>
        <w:tab/>
      </w:r>
    </w:p>
    <w:p w14:paraId="3D667956" w14:textId="1F49AA84" w:rsidR="00B9162A" w:rsidRDefault="000D19A9" w:rsidP="00B9162A">
      <w:pPr>
        <w:rPr>
          <w:b/>
          <w:bCs/>
          <w:color w:val="1F497D"/>
          <w:sz w:val="21"/>
          <w:szCs w:val="21"/>
          <w:lang w:val="ka-GE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47356C">
        <w:rPr>
          <w:rFonts w:eastAsiaTheme="minorEastAsia"/>
          <w:lang w:val="ka-GE" w:eastAsia="ja-JP"/>
        </w:rPr>
        <w:t xml:space="preserve"> </w:t>
      </w:r>
      <w:bookmarkStart w:id="5" w:name="_Toc462407871"/>
      <w:r w:rsidR="00B9162A" w:rsidRPr="00B9162A">
        <w:rPr>
          <w:rFonts w:eastAsiaTheme="minorEastAsia"/>
          <w:lang w:val="ka-GE" w:eastAsia="ja-JP"/>
        </w:rPr>
        <w:t>სატელევიზიო ეთერის დაგეგმარების ნაწილში მედია დაგეგმარების პროფილის სააგენტოებისთვის.</w:t>
      </w:r>
      <w:r w:rsidR="00B9162A">
        <w:rPr>
          <w:b/>
          <w:bCs/>
          <w:color w:val="1F497D"/>
          <w:sz w:val="21"/>
          <w:szCs w:val="21"/>
          <w:lang w:val="ka-GE"/>
        </w:rPr>
        <w:t xml:space="preserve"> </w:t>
      </w:r>
    </w:p>
    <w:p w14:paraId="2F3D0BFA" w14:textId="3364CF03" w:rsidR="004F10D7" w:rsidRPr="002D6FB3" w:rsidRDefault="00957C38" w:rsidP="00B9162A">
      <w:pPr>
        <w:rPr>
          <w:lang w:val="ka-GE"/>
        </w:rPr>
      </w:pPr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6" w:name="_Toc276364"/>
      <w:r>
        <w:t>ინსტრუქცია ტენდერში მონაწილეთათვის</w:t>
      </w:r>
      <w:bookmarkEnd w:id="6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7" w:name="_Toc276365"/>
      <w:r>
        <w:t>ტენდერში მონაწილეობის პირობები</w:t>
      </w:r>
      <w:bookmarkEnd w:id="7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30B0D2B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D151A6">
        <w:rPr>
          <w:lang w:val="ka-GE"/>
        </w:rPr>
        <w:t>მომსახურების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 xml:space="preserve">მოთხოვნილი </w:t>
      </w:r>
      <w:r w:rsidR="00D151A6">
        <w:rPr>
          <w:lang w:val="ka-GE"/>
        </w:rPr>
        <w:t>მომსახურების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8" w:name="_Toc276366"/>
      <w:r>
        <w:t>ანგარიშსწორების პირობა</w:t>
      </w:r>
      <w:bookmarkEnd w:id="8"/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E300FFD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D151A6">
        <w:rPr>
          <w:lang w:val="ka-GE"/>
        </w:rPr>
        <w:t>მომსახურების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276367"/>
      <w:bookmarkEnd w:id="5"/>
      <w:r>
        <w:t xml:space="preserve">სატენდერო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66DD1923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FC31F9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</w:t>
      </w:r>
      <w:r w:rsidR="00FC31F9">
        <w:rPr>
          <w:rFonts w:eastAsiaTheme="minorEastAsia"/>
          <w:lang w:val="ka-GE" w:eastAsia="ja-JP"/>
        </w:rPr>
        <w:t xml:space="preserve">სრულად წარმოადგინოს </w:t>
      </w:r>
      <w:r w:rsidR="00FC31F9" w:rsidRPr="000D19A9">
        <w:rPr>
          <w:rFonts w:eastAsiaTheme="minorEastAsia"/>
          <w:b/>
          <w:lang w:val="ka-GE" w:eastAsia="ja-JP"/>
        </w:rPr>
        <w:t>დანართი 1</w:t>
      </w:r>
      <w:r w:rsidR="00FC31F9">
        <w:rPr>
          <w:rFonts w:eastAsiaTheme="minorEastAsia"/>
          <w:lang w:val="ka-GE" w:eastAsia="ja-JP"/>
        </w:rPr>
        <w:t xml:space="preserve"> „მოთხოვნები“;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0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0"/>
    </w:p>
    <w:p w14:paraId="073C683F" w14:textId="551487DD" w:rsidR="00AC6B49" w:rsidRDefault="00E3757A" w:rsidP="00AC6B49">
      <w:pPr>
        <w:pStyle w:val="a"/>
      </w:pPr>
      <w:bookmarkStart w:id="11" w:name="_Toc276370"/>
      <w:r>
        <w:t xml:space="preserve">დანართი 1: </w:t>
      </w:r>
      <w:bookmarkEnd w:id="11"/>
      <w:r w:rsidR="00FC31F9">
        <w:t>„მოთხოვნები“</w:t>
      </w:r>
    </w:p>
    <w:p w14:paraId="2F7D640D" w14:textId="77777777" w:rsidR="00AC6B49" w:rsidRDefault="00AC6B49" w:rsidP="00AC6B49">
      <w:pPr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 xml:space="preserve">მედია სააგენტო უნდა აკმაყოფილებდეს შემდეგ მოთხოვნებს: </w:t>
      </w:r>
    </w:p>
    <w:p w14:paraId="78741518" w14:textId="77777777" w:rsidR="00AC6B49" w:rsidRDefault="00AC6B49" w:rsidP="00AC6B49">
      <w:pPr>
        <w:rPr>
          <w:b/>
          <w:bCs/>
          <w:color w:val="1F497D"/>
          <w:sz w:val="21"/>
          <w:szCs w:val="21"/>
          <w:lang w:val="ka-GE"/>
        </w:rPr>
      </w:pPr>
    </w:p>
    <w:p w14:paraId="185A39C6" w14:textId="77777777" w:rsidR="00AC6B49" w:rsidRDefault="00AC6B49" w:rsidP="00AC6B49">
      <w:pPr>
        <w:pStyle w:val="ListParagraph"/>
        <w:numPr>
          <w:ilvl w:val="0"/>
          <w:numId w:val="13"/>
        </w:numPr>
        <w:contextualSpacing w:val="0"/>
        <w:jc w:val="left"/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 xml:space="preserve">საერთაშორისოდ აფილირებული კომპანია, დამადასტურებელი დოკუმენტაციებით; </w:t>
      </w:r>
    </w:p>
    <w:p w14:paraId="586724BD" w14:textId="77777777" w:rsidR="00AC6B49" w:rsidRDefault="00AC6B49" w:rsidP="00AC6B49">
      <w:pPr>
        <w:pStyle w:val="ListParagraph"/>
        <w:numPr>
          <w:ilvl w:val="0"/>
          <w:numId w:val="13"/>
        </w:numPr>
        <w:contextualSpacing w:val="0"/>
        <w:jc w:val="left"/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 xml:space="preserve">საქართველოში 2-ივე მზომველის: </w:t>
      </w:r>
      <w:r>
        <w:rPr>
          <w:b/>
          <w:bCs/>
          <w:color w:val="1F497D"/>
          <w:sz w:val="21"/>
          <w:szCs w:val="21"/>
        </w:rPr>
        <w:t>AGB Nielsen</w:t>
      </w:r>
      <w:r>
        <w:rPr>
          <w:b/>
          <w:bCs/>
          <w:color w:val="1F497D"/>
          <w:sz w:val="21"/>
          <w:szCs w:val="21"/>
          <w:lang w:val="ka-GE"/>
        </w:rPr>
        <w:t xml:space="preserve">-ისა და კანტარის გამომწერის დამადასტურებელი დოკუმენტაცია; </w:t>
      </w:r>
    </w:p>
    <w:p w14:paraId="07F94F44" w14:textId="77777777" w:rsidR="00AC6B49" w:rsidRDefault="00AC6B49" w:rsidP="00AC6B49">
      <w:pPr>
        <w:pStyle w:val="ListParagraph"/>
        <w:numPr>
          <w:ilvl w:val="0"/>
          <w:numId w:val="13"/>
        </w:numPr>
        <w:contextualSpacing w:val="0"/>
        <w:jc w:val="left"/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 xml:space="preserve">მედია-სააგენტოს პორტფოლიო კლიენტებისა და მათი მომსახურების შესახებ. </w:t>
      </w:r>
    </w:p>
    <w:p w14:paraId="026286B3" w14:textId="77777777" w:rsidR="00AC6B49" w:rsidRDefault="00AC6B49" w:rsidP="00AC6B49">
      <w:pPr>
        <w:pStyle w:val="ListParagraph"/>
        <w:numPr>
          <w:ilvl w:val="0"/>
          <w:numId w:val="13"/>
        </w:numPr>
        <w:contextualSpacing w:val="0"/>
        <w:jc w:val="left"/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 xml:space="preserve">შეთავაზებაში მითითებული უნდა იყოს 1 წლის განმავლობაში სააგენტოს მომსახურების საკომისიო. </w:t>
      </w:r>
    </w:p>
    <w:p w14:paraId="18D62DD6" w14:textId="77777777" w:rsidR="00AC6B49" w:rsidRDefault="00AC6B49" w:rsidP="00AC6B49">
      <w:pPr>
        <w:rPr>
          <w:b/>
          <w:bCs/>
          <w:color w:val="1F497D"/>
          <w:sz w:val="21"/>
          <w:szCs w:val="21"/>
          <w:lang w:val="ka-GE"/>
        </w:rPr>
      </w:pPr>
    </w:p>
    <w:p w14:paraId="6BA9360C" w14:textId="77777777" w:rsidR="00AC6B49" w:rsidRDefault="00AC6B49" w:rsidP="00AC6B49">
      <w:pPr>
        <w:rPr>
          <w:b/>
          <w:bCs/>
          <w:color w:val="1F497D"/>
          <w:sz w:val="21"/>
          <w:szCs w:val="21"/>
          <w:lang w:val="ka-GE"/>
        </w:rPr>
      </w:pPr>
      <w:r>
        <w:rPr>
          <w:b/>
          <w:bCs/>
          <w:color w:val="1F497D"/>
          <w:sz w:val="21"/>
          <w:szCs w:val="21"/>
          <w:lang w:val="ka-GE"/>
        </w:rPr>
        <w:t>სააგენტო ვალდებული იქნება განახორციელოს მხოლოდ კონკრეტული აქტივობების სატელევიზიო დაგეგმარება 1 წლის განმავლობაში საქართველოს ბანკისთვის.  </w:t>
      </w:r>
    </w:p>
    <w:p w14:paraId="558B49E4" w14:textId="77777777" w:rsidR="00AC6B49" w:rsidRDefault="00AC6B49" w:rsidP="00AC6B49">
      <w:pPr>
        <w:rPr>
          <w:color w:val="1F497D"/>
          <w:sz w:val="22"/>
          <w:szCs w:val="22"/>
          <w:lang w:val="ka-GE"/>
        </w:rPr>
      </w:pPr>
    </w:p>
    <w:p w14:paraId="4C7E23F6" w14:textId="77777777" w:rsidR="00AC6B49" w:rsidRPr="00AC6B49" w:rsidRDefault="00AC6B49" w:rsidP="00AC6B49">
      <w:pPr>
        <w:pStyle w:val="a0"/>
        <w:numPr>
          <w:ilvl w:val="0"/>
          <w:numId w:val="0"/>
        </w:numPr>
        <w:rPr>
          <w:lang w:val="ka-GE"/>
        </w:rPr>
      </w:pP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05E95597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2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2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B7D7A" w14:textId="77777777" w:rsidR="00B82EDE" w:rsidRDefault="00B82EDE" w:rsidP="002E7950">
      <w:r>
        <w:separator/>
      </w:r>
    </w:p>
  </w:endnote>
  <w:endnote w:type="continuationSeparator" w:id="0">
    <w:p w14:paraId="1CEB25CB" w14:textId="77777777" w:rsidR="00B82EDE" w:rsidRDefault="00B82ED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95A7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95A7E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D6846" w14:textId="77777777" w:rsidR="00B82EDE" w:rsidRDefault="00B82EDE" w:rsidP="002E7950">
      <w:r>
        <w:separator/>
      </w:r>
    </w:p>
  </w:footnote>
  <w:footnote w:type="continuationSeparator" w:id="0">
    <w:p w14:paraId="29F1C1BA" w14:textId="77777777" w:rsidR="00B82EDE" w:rsidRDefault="00B82ED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3000C"/>
    <w:multiLevelType w:val="hybridMultilevel"/>
    <w:tmpl w:val="432C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6A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5A7E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B49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2EDE"/>
    <w:rsid w:val="00B831E5"/>
    <w:rsid w:val="00B83F41"/>
    <w:rsid w:val="00B86145"/>
    <w:rsid w:val="00B86171"/>
    <w:rsid w:val="00B869DC"/>
    <w:rsid w:val="00B87D33"/>
    <w:rsid w:val="00B90A37"/>
    <w:rsid w:val="00B9162A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1A6"/>
    <w:rsid w:val="00D1583E"/>
    <w:rsid w:val="00D15BA8"/>
    <w:rsid w:val="00D17EF6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2747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31F9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hanturia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chanturia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682F9-DFA3-4F8B-B753-42AFCD5E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4</cp:revision>
  <cp:lastPrinted>2018-12-25T15:48:00Z</cp:lastPrinted>
  <dcterms:created xsi:type="dcterms:W3CDTF">2019-03-06T10:03:00Z</dcterms:created>
  <dcterms:modified xsi:type="dcterms:W3CDTF">2019-03-06T10:04:00Z</dcterms:modified>
</cp:coreProperties>
</file>